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21 194 vom 12. August 2024</w:t>
      </w:r>
    </w:p>
    <w:p>
      <w:r>
        <w:t>VS Kantonsgericht, 2024-08-12, FR</w:t>
      </w:r>
    </w:p>
    <w:p>
      <w:r>
        <w:rPr>
          <w:b/>
        </w:rPr>
        <w:t xml:space="preserve">Quelle: </w:t>
      </w:r>
      <w:r>
        <w:t>https://mcp.opencaselaw.ch/entscheid/vs_gerichte_S1 21 194</w:t>
      </w:r>
    </w:p>
    <w:p>
      <w:r>
        <w:t>FR: VS_GERICHTE S1 21 194 du 12 août 2024</w:t>
      </w:r>
    </w:p>
    <w:p>
      <w:r>
        <w:t>IT: VS_GERICHTE S1 21 194 del 12 agosto 2024</w:t>
      </w:r>
    </w:p>
    <w:p>
      <w:pPr>
        <w:pStyle w:val="Heading2"/>
      </w:pPr>
      <w:r>
        <w:t>Regeste</w:t>
      </w:r>
    </w:p>
    <w:p>
      <w:r>
        <w:t>Par arrêt du 12 août 2024 (9C_197/2024), le Tribunal fédéral a rejeté le recours en matière civile interjeté par X_ contre ce jugement S1 21 194 ARRÊT DU 20 FÉVRIER 2024 Tribunal cantonal du Valais Cour des assurances sociales Composition : Candido Prada, président ; Jean-Bernard Fournier et Christophe Joris, juges ; Garance Klay, greffière en la cause X _________, recourant, représenté par Maître Didier Elsig, avocat, Lausanne contre OFFICE CANTONAL AI DU VALAIS, intimé (art. 17 LPGA ; révision et suppression de la rente d’invalidité)</w:t>
      </w:r>
    </w:p>
    <w:p>
      <w:pPr>
        <w:pStyle w:val="Heading2"/>
      </w:pPr>
      <w:r>
        <w:t>Erwägungen</w:t>
      </w:r>
    </w:p>
    <w:p>
      <w:r>
        <w:rPr>
          <w:b/>
        </w:rPr>
        <w:t>E. 2</w:t>
      </w:r>
    </w:p>
    <w:p>
      <w:r>
        <w:t>Le litige s’inscrit dans le cadre d’une procédure de révision ayant amené l’OAI à supprimer la rente d’invalidité entière du recourant du 1er octobre 2017 au 31 janvier 2020, seule cette suppression étant contestée. Le recourant conteste ne particulier avoir recouvré une pleine capacité de travail exigible dans une activité adaptée du 5 juin 2017 au 17 février 2020.</w:t>
      </w:r>
    </w:p>
    <w:p>
      <w:r>
        <w:rPr>
          <w:b/>
        </w:rPr>
        <w:t>E. 2.1</w:t>
      </w:r>
    </w:p>
    <w:p>
      <w:r>
        <w:t>Selon la jurisprudence, le bien-fondé d'une décision d'octroi, à titre rétroactif, d'une rente limitée dans le temps, doit être examiné à la lumière des conditions de révision du droit à la rente (arrêt du Tribunal fédéral 8C_104/2009 du 14 décembre 2009 consid. 2 ; ATF 125 V 418 consid. 2d). Selon l'article 17 LPGA (dans sa teneur en vigueur au 31 décembre 2021), si le taux d’invalidité du bénéficiaire de la rente subit une modification notable, la rente est, d’office ou sur demande, révisée pour l’avenir, à savoir augmentée ou réduite en conséquence, ou encore supprimée. Selon l’article 88a alinéa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Quant à l’article 88bis alinéa 1 lettre a RAI, il prévoit que la diminution ou la suppression de la rente prend effet au plus tôt le premier jour du deuxième mois qui suit la notification de la décision.</w:t>
      </w:r>
    </w:p>
    <w:p>
      <w:r>
        <w:rPr>
          <w:b/>
        </w:rPr>
        <w:t>E. 2.2</w:t>
      </w:r>
    </w:p>
    <w:p>
      <w:r>
        <w:t>Est réputée invalidité, l'incapacité de gain totale ou partielle présumée permanente ou de longue durée, résultant d'une infirmité congénitale, d'une maladie ou d'un accident (art. 8 al. 1 LPGA et 4 al. 1 LAI). Selon l'article 7 LPGA, est réputée incapacité de gain toute diminution de l'ensemble ou d'une partie des possibilités de gain de l'assuré sur le</w:t>
      </w:r>
    </w:p>
    <w:p>
      <w:r>
        <w:t>- 21 -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En outre, il n'y a incapacité de gain que si celle-ci n'est pas objectivement surmontable (al. 2). Un assuré a droit à une rente entière s'il est invalide à 70 % au moins, à un trois-quarts de rente s'il est invalide à 60 % au moins, à une demi-rente s'il est invalide à 50 % au moins, ou à un quart de rente s'il est invalide à 40 % au moins (art. 28 al. 2 aLAI).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2.3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de l’assuré (ATF 140 V 193 consid. 3.2, 125 V 256 consid. 4, 115 V 133 consid. 2, 114 V 310 consid. 3c et les réf. cit.).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L'élément déterminant pour la valeur probante n'est ni l'origine du moyen de preuve ni sa désignation comme rapport ou comme expertise, mais bel et bien son contenu (ATF 143 V 124 consid. 2.2.2 et 125 V 351 consid. 3a ainsi que les références ; VSI 2001 p. 108 consid. 3a).</w:t>
      </w:r>
    </w:p>
    <w:p>
      <w:r>
        <w:t>- 22 -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9C_54/2021 du 25 février 2022 consid. 5.4). Un rapport du SMR a pour fonction d'opérer la synthèse des renseignements médicaux versés au dossier et de prodiguer des recommandations quant à la suite à donner à l’affaire sur le plan médical. En tant qu'il ne contient aucune observation clinique, il se distingue d'une expertise médicale (art. 44 LPGA) ou d'un examen médical auquel il arrive au SMR de procéder (art. 49 al. 2 RAI ; ATF 142 V 58 consid. 5.1, cité p. ex. in : arrêt du Tribunal fédéral 9C_115/2022 du 22 mars 2023 consid. 3.2).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9C_670/2020 du 28 juillet 2021 consid. 3.2 et les réf. cit.).</w:t>
      </w:r>
    </w:p>
    <w:p>
      <w:r>
        <w:t>- 23 -</w:t>
      </w:r>
    </w:p>
    <w:p>
      <w:r>
        <w:rPr>
          <w:b/>
        </w:rPr>
        <w:t>E. 2.4</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125 V 351 consid. 3a, 122 V 157 consid. 1c et les références citées ; v. aussi, en matière d’expertise psychiatrique, ATF 148 V 49 consid. 6.2.1).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différence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 (arrêt du Tribunal fédéral 9C_232/2022 du 4 octobre 2022 consid. 4.1.2).</w:t>
      </w:r>
    </w:p>
    <w:p>
      <w:r>
        <w:rPr>
          <w:b/>
        </w:rPr>
        <w:t>E. 3</w:t>
      </w:r>
    </w:p>
    <w:p>
      <w:r>
        <w:t>janvier et 4 juin 2020). Quant au Dr C _________, il a essentiellement délivré des certificats d’incapacité de travail relatifs à l’ancienne activité professionnelle, sans fournir d’explications motivées s’agissant du taux de capacité dans une activité adaptée. A l’aune de ces éléments, le Tribunal ne saurait faire grief à l’intimé d’avoir retenu que le recourant avait recouvré, dès le 5 juin 2017, une pleine capacité de travail exigible dans une activité adaptée répondant aux limitations citées par les experts. A défaut de péjoration durable établie, il sied de confirmer que cette exigibilité a perduré jusqu’ à la pose de la prothèse de genou en date du 17 février 2020.</w:t>
      </w:r>
    </w:p>
    <w:p>
      <w:r>
        <w:t>- 26 -</w:t>
      </w:r>
    </w:p>
    <w:p>
      <w:r>
        <w:rPr>
          <w:b/>
        </w:rPr>
        <w:t>E. 3.1</w:t>
      </w:r>
    </w:p>
    <w:p>
      <w:r>
        <w:t>Le recourant, se prévalant de l’avis de ses médecins traitants, les Drs C _________ et N _________ ainsi que de l’expertise du Dr M _________, estime ne pas avoir recouvré une pleine capacité de travail dans une activité adaptée, notamment en qualité de surveillant « pur », tel que retenu par l’intimé sur la base, également de l’expertise du Dr M _________, ainsi que des conclusions de l’expertise Q _________, corroborées par le SMR. Dans son expertise du 17 octobre 2017, le Dr M _________ a certes admis, comme les autres praticiens, que les anciennes activités professionnelles telles qu’exercées par le recourant, en qualité de caviste ou de surveillant au sein de A _________, n’étaient plus adaptées à ses problèmes de santé. Il a par contre retenu une pleine capacité de travail exigible, depuis le 5 juin 2017 (terme de l’incapacité liée à la pose du neurostimulateur), dans toute activité en position sédentaire ou semi-sédentaire, permettant l’alternance</w:t>
      </w:r>
    </w:p>
    <w:p>
      <w:r>
        <w:t>- 24 - des positions assise et debout, évitant le port de charges de plus de 10 kilos, les travaux penchés en avant ou en porte à faux, les mouvements au-delà de l’horizontale des deux épaules. Malgré l’état de son genou prévalant lors de l’expertise (rappel : arthroscopie accomplie en juillet 2017), de courts déplacements à plat demeuraient possibles, mais l’intéressé devait éviter de monter et descendre les escaliers ou les pentes ainsi que la marche en terrain irrégulier (p. 563 du dossier AI). Le Tribunal constate que l’expertise du Dr M _________ est pleinement probante à l’aune des réquisits posés par la jurisprudence. Elle émane d’un spécialiste d’une compétence reconnue, lequel s’est prononcé en connaissance du dossier médical de l’assuré, y compris radiologique, et a procédé à un examen clinique. Il a notamment pris en compte les avis médicaux émis par les autres praticiens et a exposé pour quels motifs il avait écarté certains diagnostics, respectivement ne leur avait pas attribué de caractère incapacitant. Il a notamment tenu compte des suites du lavage du genou gauche du 22 juillet 2027, a souligné que l’arthrodèse était bel et bien consolidée et que les diagnostics évoqués (maladie de Lyme traitée fin 2015, arthralgie des doigts…) étaient sans incidence sur la capacité de travail. Les conclusions du Dr M _________ ont été confirmées par les experts du Q _________. Dans leur rapport du 26 juillet 2019, les experts ont précisé de manière consensuelle que les limitations fonctionnelles consistaient en l’exclusion des efforts de soulèvement de plus de 5 kilos, des mouvements en porte-à-faux du buste, de la marche ou du piétinement prolongé, pas d’activité avec des escaliers ou en hauteur (échelle, escabeau, tabouret), pas de position à genoux ou accroupie, ni effort de préhension ou de prosuspination forcé des mains afin d’éviter des poussées de chondrocalcinose. L’ancienne activité telle qu’exercée au sein de A _________ a de nouveau été jugée inadéquate, par contre, une activité de « surveillant exclusif », sans participation aux sorties d’élèves, à la conciergerie et à l’installation des classes, était adaptée. Dans une telle profession, la capacité de travail était de 100% depuis juin 2017, soit depuis la mise en place du stimulateur médullaire qui avait apporté une amélioration de la symptomatologie neurologique (de 50 à 70%) confirmée aux experts par l’expertisé. Il est à relever que la date de novembre 2017 évoquée par le rhumatologue correspondait à la « communication AI » (projet de décision AI du 13 novembre 2017), de sorte que seule celle de juin 2017, relative à un élément médical, fait fois. L’expertise du Q _________ répond également clairement aux exigences posées par la jurisprudence en matière de valeur probante. Les experts, d’une compétence reconnue dans leurs domaines respectifs, ont en particulier procédé à de nouveaux examens et analyses,</w:t>
      </w:r>
    </w:p>
    <w:p>
      <w:r>
        <w:t>- 25 - lesquels leur ont permis d’exclure le diagnostic de maladie de Lyme ou de neuroborréliose et ont permis de poser le diagnostic de chondrocalcinose. Ils ont ainsi notamment exposé les motifs pour lesquels il n’avait pas suivi la Dresse P _________. Les conclusions des experts du Q _________ ont été corroborées par le SMR. Dans son rapport final du 7 août 2019, le Dr L _________ a confirmé les diagnostics incapacitants de lombalgies chroniques (M54.5), de gonarthrose modérée des deux genoux, plus marquée à gauche, de tendinopathie de la coiffe des rotateurs de deux épaules et de chondrocalcinose articulaire (CCA): genoux, poignets, hanches (M11.02). Il a en particulier confirmé une pleine capacité de travail exigible dans une activité adaptée dès juin 2017 (p. 957 du dossier AI). Aucun rapport médical d’une valeur probante prépondérante n’est venu mettre en doute les conclusions concordantes du Dr M _________, des experts du Q _________ et du SMR. En particulier, les rapports des Dr C _________ et N _________ n’ont pas permis d’établir que leurs confrères avaient posé des avis médicaux erronés ou lacunaires. Il est notamment relevé que l’arthroscopie du genou du 21 juillet 2017 et ses suites n’ont pas induit une incapacité de travail durable ; elles ont en effet été prises en compte dans l’évaluation du Dr M _________, lequel a constaté que l’intéressé pouvait faire de courts déplacements à plat, mais devait éviter de monter et descendre les escaliers ou les pentes ainsi que la marche en terrain irrégulier. Les Drs C _________ et N _________ n’ont en particulier pas apporté d’éléments nouveaux mettant en doute les diagnostics et avis émis par les experts. En particulier, les limitations retenues par le Dr N _________ (position principalement assise, sans contrainte articulaire, éviction des activités sollicitant les articulations) et son avis quant au caractère inadéquat du dernier poste au sein de A _________, ne contredisent nullement celles des experts ; ces derniers avaient notamment pris en compte le fait que l’intéressé souffrait de coxarthrose gauche, ce qui ne changeait pas les limitations retenues (cf. également les avis du SMR des</w:t>
      </w:r>
    </w:p>
    <w:p>
      <w:r>
        <w:rPr>
          <w:b/>
        </w:rPr>
        <w:t>E. 3.2</w:t>
      </w:r>
    </w:p>
    <w:p>
      <w:r>
        <w:t>Le recourant conteste encore que l’activité de surveillant « exclusif », sans tâches annexes ajoutées, ait été adaptée durant la période litigieuse. La Cour constate pourtant que le caractère exigible d’une telle profession a été confirmé tant par les experts du Q _________, que par le Service de réadaptation de l’AI, dont c’est précisément la tâche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consid. 4.1, 2001 IV no 10 p. 27 ; MEYER-BLASER, Rechtsprechung des Bundesgerichts zum IVG, p. 228). Comme l’a relevé l’intimé dans sa réponse du 19 octobre 2021, il sied de confirmer qu’en l’occurrence, le Service de réadaptation a bien vérifié que le cahier des charges spécifique à un poste de surveillant était adapté aux limitations fonctionnelles. Il a notamment fourni une liste des tâches pouvant être attendues de ce dernier (liste non exhaustive) : surveiller les élèves et contrôler le respect du règlement intérieur de l’établissement d'enseignement afin de garantir de bonnes conditions de scolarité, animer hors du temps de classe des actions éducatives ou périscolaires, surveiller la ponctualité, l'assiduité des élèves aux cours, contrôler les justificatifs et informer les parents, réaliser les modalités d'accueil et de surveillance des élèves lors des intercours, des sorties, des permanences, et contrôler l'application du règlement intérieur, des consignes de sécurité, des règles de vie collective, suivre et compléter les documents administratifs et la correspondance des élèves (suivi des absences, bulletins scolaires), repérer des dégradations ou incidents, surveiller les élèves lors d'interclasses, activités périscolaires, internat et repas, surveiller les élèves lors d'examens, conduire les élèves durant les périodes de récréation dans un cadre de sécurité optimale, organiser et surveiller les déroulements du repas au réfectoire, conduire les élèves aux ateliers artistiques et sportifs ». Il a ajouté que les compétences acquises par le biais des mesures d’ordre professionnel permettaient désormais à l’assuré de briguer des emplois pleinement adaptés, sans ajout de tâches annexes, ce type de poste étant suffisamment représentés sur le marché équilibré du travail (p. 622 ss du dossier AI). A la lumière de ces éléments, le Tribunal ne saurait, ici également, faire grief à l’intimé d’avoir retenu le caractère adapté de la profession de surveillant dans la mesure où elle</w:t>
      </w:r>
    </w:p>
    <w:p>
      <w:r>
        <w:t>- 27 - pouvait être exercée sans ajout de tâches annexes. C’est ainsi à bon droit que l’intimé a considéré que le recourant avait bien été reclassé et qu’il a calculé son revenu d’invalide dans cette profession.</w:t>
      </w:r>
    </w:p>
    <w:p>
      <w:r>
        <w:rPr>
          <w:b/>
        </w:rPr>
        <w:t>E. 4</w:t>
      </w:r>
    </w:p>
    <w:p>
      <w:r>
        <w:t>Le recourant conteste finalement son revenu d’invalide, y compris sa fixation à l’aune des données de l’ESS telle qu’opérée par l’intimé dans sa duplique. L’article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4.1.1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(ATF 148 V 174 consid. 6.2; 139 V 592 consid. 2.3; 135 V 297 consid. 5.2). Dans l’arrêt 8C_256/2021 du 9 mars 2022 publié aux ATF 148 V 177- soit après que le recours ait été déposé céans - le Tribunal fédéral, se référant entre autres à l’étude du</w:t>
      </w:r>
    </w:p>
    <w:p>
      <w:r>
        <w:rPr>
          <w:b/>
        </w:rPr>
        <w:t>E. 4.2</w:t>
      </w:r>
    </w:p>
    <w:p>
      <w:r>
        <w:t>Dans le cas d’espèce, l’on relève que le recourant a exercé la profession de surveillant de 2006 à 2015, soit durant un peu moins de dix ans. On doit dès lors considérer qu’il bénéficie d’une certaine expérience dans cette profession. Dans le cadre du reclassement dans ce même domaine, d’ailleurs choisi par le recourant et tendant à une mise à niveau/adaptation dans cette profession, il a en outre suivi une formation en anglais lui permettant d’accéder à un poste de surveillant dans une école internationale notamment, un cours d’introduction au travail en institution, des formations dans des matières telles que la gestion des conflits et du stress et une participation à l’obtention du permis D1 (poids lourd). A l’examen des différentes branches économiques que répertorie l’OFS, c’est ainsi à juste titre que l’intimé s’est référé à la branche économique 77,78-82 « Activités de service administratifs et de soutien », sous la forme « activités administratives et autres activités de soutien aux entreprises ». On ne saurait toutefois considérer que l’expérience du recourant dans cette profession ainsi que l’obtention des connaissances acquises dans le cadre du reclassement permettent de considérer que son travail de surveillant implique des tâches pratiques complexes relatives à un niveau 3. En effet, un travail de surveillant répond davantage à l’accomplissement de tâches pratiques relatives au niveau 2 de l’ESS qu’à des connaissances spécialisées de type technique ou infirmier, y compris en ce qui concerne la gestion de certains biens pouvant incomber à un surveillant (intendance). Partant, en application des données statistiques du niveau 2 (ESS 2016 TA1_tirage-skill- level, NOGA02) , le salaire mensuel brut toutes branches confondues (valeur centrale) doit être ramené à 5169 fr. en lieu et place des 6404 fr. pris comme base de calcul par l’intimé, ce qui porte son salaire d’invalide en 2017 à 65 545 fr. 60 après adaptation horaire (42,1 heures au lieu de 40 heures/semaine) et indexation de 2016 à 2017 (0,4%). S’agissant de la question de l’abattement de ce salaire, avec l’intimé, on rappellera que lorsque les limitations fonctionnelles ont d’ores et déjà été prises en compte dans l’appréciation de sa capacité résiduelle de travail, elles ne peuvent dès lors l’être une seconde fois dans le cadre de l’évaluation du revenu d’invalide en tant que facteur de réduction du salaire statistique. En outre, il est rappelé que le recourant a bénéficié de</w:t>
      </w:r>
    </w:p>
    <w:p>
      <w:r>
        <w:t>- 31 - mesures d’ordre professionnel afin de pouvoir prétendre à un nombre suffisant de postes de surveillant sur le 1er marché du travail dit équilibré. Avec ce complément, le Service de réadaptation a constaté que l’intéressé à même de briguer des fonctions de surveillant en école publique, privée ou dans diverses institutions et que, dans de tels postes, il pouvait recouvrer un revenu équivalent à son dernier salaire. Finalement, le recourant, né en juin 1965, était âgé de moins de 60 ans au moment où il a été constaté que l’exercice d’une activité lucrative était médicalement exigible. Il n’existait dès lors ici aucun motif d’appliquer un abattement sur le salaire statistique susmentionné. En conclusion, le revenu d’invalide de 65 545 fr. 60 exigible dès le 5 juin 2017 comparé au revenu hypothétique non contesté de 88 393 fr. 50, induisait une perte de gain de 23 782 fr., soit un taux d’invalidité de 25% toujours inférieur au taux minimal à 40% permettant de maintenir le droit à une rente. Il appert ainsi que c’est à bon droit que l’intimé a supprimé le droit du recourant à une rente durant la période du 1er octobre 2017 au 31 janvier 2020.</w:t>
      </w:r>
    </w:p>
    <w:p>
      <w:r>
        <w:rPr>
          <w:b/>
        </w:rPr>
        <w:t>E. 4.3</w:t>
      </w:r>
    </w:p>
    <w:p>
      <w:r>
        <w:t>En tous points mal fondé, le recours du 13 septembre 2021 est rejeté et les décisions des 9 et 22 juillet précédents confirmées. 5.</w:t>
      </w:r>
    </w:p>
    <w:p>
      <w:r>
        <w:t>5.1. Les frais de justice, arrêtés à 800 francs, fixés selon les principes de la couverture des coûts et de l’équivalence des prestations, sont mis à la charge du recourant qui succombe (art. 61 let. fbis LPGA ; art. 69 al. 1bis LAI), le montant étant compensé par l’avance de frais, d’un montant équivalent, déjà versée. 5.2. Vu l’issue de la cause, le recourant ne peut pas prétendre à des dépens (art. 61 let. g LPGA a contrario), ni d’ailleurs l’OAI (art. 91 al. 3 LPJA). Prononce 1. Le recours est rejeté. 2. Les frais, par 800 francs, sont mis à la charge de X _________. 3. Il n’est pas alloué de dépens. Sion, le 20 février 2024</w:t>
      </w:r>
    </w:p>
    <w:p>
      <w:r>
        <w:rPr>
          <w:b/>
        </w:rPr>
        <w:t>E. 8</w:t>
      </w:r>
    </w:p>
    <w:p>
      <w:r>
        <w:t>janvier 2021 « Nutzung Tabellenmedianlöhne LSE zur Bestimmung der Vergleichslöhne bei der IV-Rentenbemessung » réalisée par le Büro für arbeits- und sozialpolitische Studien (BASS) et à la contribution « Der Weg zu einem invaliditätskonformeren Tabellenlohn » du Prof. em. Riemer-Kafka et du Dr. phil. Schwegler a décidé qu'il n'y avait aucune raison de modifier la jurisprudence selon laquelle le point de départ pour le calcul du revenu d'invalide sur la base de valeurs statistiques était en principe les valeurs centrales ou médianes de l'ESS (cf. également les arrêts 8C_323/2021 du 14 avril 2022 consid. 6 et 8C_250/2021 du 31 mars 2022 consid. 4.2.2). Il a indiqué, d'une part, que le salaire médian était parfois aussi réalisé par des personnes atteintes dans leur santé et, d'autre part, que les instruments de correction actuels, notamment la possibilité de déduire jusqu'à 25 % de la valeur médiane, permettaient de déterminer un revenu d'invalide inférieur au quartile inférieur Q1 (ATF 148 V 177 consid. 9.2.3 ; arrêt 8C_602/2021 du 11 mai 2022 consid. 4.1 ; cf. entre autres également les arrêts du Tribunal fédéral 8C_155/2022 du 29 septembre 2022 consid. 4.3.2.2 et 8C_139/2021 du 10 mai 2022 consid. 3.2.2.3 f.).</w:t>
      </w:r>
    </w:p>
    <w:p>
      <w:r>
        <w:t>- 28 - 4.1.2 L’ESS est publiée tous les deux ans par l’Office fédéral de la statistique et plus particulièrement à la table TA1_tirage_skill_level, qui indique le salaire mensuel brut selon les branches économiques, le niveau de compétences et le sexe (ATF 148 V 174 consid. 6.2 ;143 V 295 consid. 2.2 ; 129 V 222 consid. 4.3.1 et la référence ; cf. arrêt du Tribunal fédéral des assurances B 80/01 du 17 octobre 2003 consid. 5.2.2, in REAS 2004 p. 239). La détermination des valeurs statistiques a pour objectif de tenir compte au mieux de la situation individuelle de chaque personne assurée. Depuis la 10ème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(arrêts du Tribunal fédéral 9C_268/2021 du 15 octobre 2021 consid. 3.2.1 et 8C_46/2018 du 11 janvier 2019 consid. 4.4 et les références). Selon la jurisprudence, si la personne assurée ne peut plus effectuer l'activité exercée avant la survenance de l'invalidité, l'application du niveau de compétence 2 se justifie uniquement si elle dispose de compétences ou de connaissances particulières (arrêts du Tribunal fédéral 8C_131/2021 du 2 août 2021 consid. 7.4.1, publié in SVR 2022 UV n° 3 p. 7 ; 8C_226/2021 du 4 octobre 2021 consid. 3.3.3.1 ; 8C_5/2020 du 22 avril 2020 consid. 5.3.2 et l'arrêt cité).</w:t>
      </w:r>
    </w:p>
    <w:p>
      <w:r>
        <w:t>- 29 -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 4.1.3 Le Tribunal fédéral a considéré, pour des raisons liées au respect du principe constitutionnel de l'égalité de traitement, qu'il n'y avait pas lieu de tenir compte de données salariales régionales, et à plus forte raison cantonales (arrêts du Tribunal fédéral 9C_535/2019 du 31 octobre 2019 consid. 4; 8C_744/2011 du 25 avril 2012 consid. 5.2 et les références, in SVR 2012 UV n° 26 p. 93 ; voir également arrêts du Tribunal fédéral I 820/06 du 4 septembre 2007 consid. 3.3 et U 75/03 du 12 octobre 2006 consid. 8, in SVR 2007 UV n° 17 p. 56). En outre, le caractère irréaliste des possibilités de travail doit découler de l'atteinte à la santé - puisqu'une telle atteinte est indispensable à la reconnaissance de l'invalidité (art. 7 et 8 LPGA) - et non de facteurs psychosociaux ou socioculturels qui sont étrangers à la définition juridique de l'invalidité. Les facteurs personnels, tels que le statut d’étranger, les problèmes de langue, l’âge ou les problèmes sur le marché du travail (récession) ne sont ainsi pas pris en considération (arrêt du Tribunal fédéral 9C_286/2015 du 12 janvier 2016 consid. 4.2 et les références). 4.1.4 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au maximum pour en tenir compte (ATF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w:t>
      </w:r>
    </w:p>
    <w:p>
      <w:r>
        <w:t>- 30 -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